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9.999999999998" w:type="dxa"/>
        <w:jc w:val="left"/>
        <w:tblInd w:w="0.0" w:type="dxa"/>
        <w:tblLayout w:type="fixed"/>
        <w:tblLook w:val="0000"/>
      </w:tblPr>
      <w:tblGrid>
        <w:gridCol w:w="1246"/>
        <w:gridCol w:w="2251"/>
        <w:gridCol w:w="1981"/>
        <w:gridCol w:w="1838"/>
        <w:gridCol w:w="2034"/>
        <w:tblGridChange w:id="0">
          <w:tblGrid>
            <w:gridCol w:w="1246"/>
            <w:gridCol w:w="2251"/>
            <w:gridCol w:w="1981"/>
            <w:gridCol w:w="1838"/>
            <w:gridCol w:w="2034"/>
          </w:tblGrid>
        </w:tblGridChange>
      </w:tblGrid>
      <w:tr>
        <w:trPr>
          <w:trHeight w:val="140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6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lineRule="auto"/>
              <w:contextualSpacing w:val="0"/>
              <w:jc w:val="center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DOMAIN 2: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THE CLASSROOM ENVIRONMENT</w:t>
            </w:r>
          </w:p>
          <w:p w:rsidR="00000000" w:rsidDel="00000000" w:rsidP="00000000" w:rsidRDefault="00000000" w:rsidRPr="00000000">
            <w:pPr>
              <w:spacing w:after="0" w:lineRule="auto"/>
              <w:contextualSpacing w:val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Component 2a: Creating an Environment of Respect and Rapport</w:t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Elements: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Teacher interaction with students • Student interactions with other students </w:t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jc w:val="center"/>
              <w:rPr>
                <w:rFonts w:ascii="Gill Sans" w:cs="Gill Sans" w:eastAsia="Gill Sans" w:hAnsi="Gill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ELEMENT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jc w:val="center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Level of Performance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UNSATISFACTORY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BASIC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PROFICIENT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DISTINGUISHED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Teacher interaction with students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Claim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Teacher interaction with at least some students is negative, demeaning, sarcastic, or inappropriate to the age or culture of the students. Students exhibit disrespect for the teacher.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Claim: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Teacher-student interactions are generally appropriate but may reflect occasional inconsistencies, favoritism, or disregard for students’ cultures. Students exhibit only minimal respect for the teacher.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Claim: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Teacher-student interactions are friendly and demonstrate general caring and respect. Such interactions are appropriate to the age and cultures of the students. Students exhibit respect for the teacher.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Claim: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Teacher interactions with students reflect genuine respect and caring for individuals as well as groups of students. Students appear to trust the teacher with sensitive information.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Student interactions with other students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Claim: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Student interactions are characterized by conflict, sarcasm, or put-downs.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Claim: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Students do not demonstrate disrespect for one another.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Claim: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Student interactions are generally polite and respectful.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Claim: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Students demonstrate genuine caring for one another and monitor one another’s treatment of peers, correcting classmates respectfully when needed.</w:t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230.000000000002" w:type="dxa"/>
        <w:jc w:val="left"/>
        <w:tblInd w:w="120.0" w:type="pct"/>
        <w:tblLayout w:type="fixed"/>
        <w:tblLook w:val="0000"/>
      </w:tblPr>
      <w:tblGrid>
        <w:gridCol w:w="1368"/>
        <w:gridCol w:w="2233"/>
        <w:gridCol w:w="1828"/>
        <w:gridCol w:w="1655"/>
        <w:gridCol w:w="2146"/>
        <w:tblGridChange w:id="0">
          <w:tblGrid>
            <w:gridCol w:w="1368"/>
            <w:gridCol w:w="2233"/>
            <w:gridCol w:w="1828"/>
            <w:gridCol w:w="1655"/>
            <w:gridCol w:w="2146"/>
          </w:tblGrid>
        </w:tblGridChange>
      </w:tblGrid>
      <w:tr>
        <w:trPr>
          <w:trHeight w:val="136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6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lineRule="auto"/>
              <w:contextualSpacing w:val="0"/>
              <w:jc w:val="center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DOMAIN 2: THE CLASSROOM ENVIRONMENT</w:t>
            </w:r>
          </w:p>
          <w:p w:rsidR="00000000" w:rsidDel="00000000" w:rsidP="00000000" w:rsidRDefault="00000000" w:rsidRPr="00000000">
            <w:pPr>
              <w:spacing w:after="0" w:lineRule="auto"/>
              <w:contextualSpacing w:val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Component 2b: Establishing a Culture for Learning</w:t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Elements: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Importance of the content • Expectations for learning and achievement • Student pride in work</w:t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jc w:val="center"/>
              <w:rPr>
                <w:rFonts w:ascii="Gill Sans" w:cs="Gill Sans" w:eastAsia="Gill Sans" w:hAnsi="Gill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ELEMENT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jc w:val="center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Level of Performance</w:t>
            </w:r>
          </w:p>
        </w:tc>
      </w:tr>
      <w:tr>
        <w:trPr>
          <w:trHeight w:val="5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UNSATISFACTORY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BASIC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PROFICIENT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DISTINGUISHED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Importance of the content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Teacher or students convey a negative attitude toward the content, suggesting that it is not important or has been mandated by others.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Teacher communicates importance of the work but with little conviction and only minimal apparent buy-in by the students.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Teacher conveys genuine enthusiasm for the content, and students demonstrate consistent commitment to </w:t>
              <w:br w:type="textWrapping"/>
              <w:t xml:space="preserve">its value.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Claim: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Students demonstrate through their active participation, curiosity, and taking initiative that they value the importance of the content.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Expectations for learning and achievement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Instructional outcomes, activities and assignments, and classroom interactions convey low expectations for at least some students.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Instructional outcomes, activities and assignments, and classroom interactions convey only modest expectations for student learning and achievement.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Instructional outcomes, activities and assignments, and classroom interactions convey high expectations for most students.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Instructional outcomes, activities and assignments, and classroom interactions convey high expectations for all students. Students appear to have internalized these expectations.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Student pride in work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Students demonstrate little or no pride in their work. They seem to be motivated by the desire to complete a task rather than to do high-quality work.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Students minimally accept the responsibility to do good work but invest little of their energy into its quality.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Students accept the teacher’s insistence on work of high quality and demonstrate pride in that work.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Students demonstrate attention to detail and take obvious pride in their work, initiating improvements in it by, for example, revising drafts on their own or helping peers.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230.000000000002" w:type="dxa"/>
        <w:jc w:val="left"/>
        <w:tblInd w:w="120.0" w:type="pct"/>
        <w:tblLayout w:type="fixed"/>
        <w:tblLook w:val="0000"/>
      </w:tblPr>
      <w:tblGrid>
        <w:gridCol w:w="1729"/>
        <w:gridCol w:w="1962"/>
        <w:gridCol w:w="1808"/>
        <w:gridCol w:w="1827"/>
        <w:gridCol w:w="1904"/>
        <w:tblGridChange w:id="0">
          <w:tblGrid>
            <w:gridCol w:w="1729"/>
            <w:gridCol w:w="1962"/>
            <w:gridCol w:w="1808"/>
            <w:gridCol w:w="1827"/>
            <w:gridCol w:w="1904"/>
          </w:tblGrid>
        </w:tblGridChange>
      </w:tblGrid>
      <w:tr>
        <w:trPr>
          <w:trHeight w:val="140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6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lineRule="auto"/>
              <w:contextualSpacing w:val="0"/>
              <w:jc w:val="center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DOMAIN 2:</w:t>
            </w:r>
            <w:r w:rsidDel="00000000" w:rsidR="00000000" w:rsidRPr="00000000">
              <w:rPr>
                <w:rFonts w:ascii="Gill Sans" w:cs="Gill Sans" w:eastAsia="Gill Sans" w:hAnsi="Gill Sans"/>
                <w:smallCaps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THE CLASSROOM ENVIRONMENT</w:t>
            </w:r>
          </w:p>
          <w:p w:rsidR="00000000" w:rsidDel="00000000" w:rsidP="00000000" w:rsidRDefault="00000000" w:rsidRPr="00000000">
            <w:pPr>
              <w:spacing w:after="0" w:lineRule="auto"/>
              <w:contextualSpacing w:val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Component 2c: Managing Classroom Procedures</w:t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Elements: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Management of instructional groups • Management of transitions • Management of materials and supplies • </w:t>
              <w:br w:type="textWrapping"/>
              <w:t xml:space="preserve">Performance of noninstructional duties • Supervision of volunteers and paraprofessionals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ELEMENT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jc w:val="center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Level of Performance</w:t>
            </w:r>
          </w:p>
        </w:tc>
      </w:tr>
      <w:tr>
        <w:trPr>
          <w:trHeight w:val="6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UNSATISFACTORY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BASIC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PROFICIENT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DISTINGUISHED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Management </w:t>
              <w:br w:type="textWrapping"/>
              <w:t xml:space="preserve">of instructional groups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Students not working with the teacher are not productively engaged in learning.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Students in only some groups are productively engaged in learning while unsupervised by the teacher.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Small-group work is well organized, and most students are productively engaged in learning while unsupervised by the teacher.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Small-group work is well organized, and students are productively engaged at all times, with students assuming responsibility for productivity.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Management </w:t>
              <w:br w:type="textWrapping"/>
              <w:t xml:space="preserve">of transitions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Transitions are chaotic, with much time lost between activities or lesson segments.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Only some transitions are efficient, resulting in some loss of instructional time.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Transitions occur smoothly, with little loss of instructional time.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Transitions are seamless, with students assuming responsibility in ensuring their efficient operation.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Management of materials </w:t>
              <w:br w:type="textWrapping"/>
              <w:t xml:space="preserve">and supplies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Materials and supplies are handled inefficiently, resulting in significant loss of instructional time.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Routines for handling materials and supplies function moderately well, but with some loss of instructional time.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Routines for handling materials and supplies occur smoothly, with little loss of instructional time.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Routines for handling materials and supplies are seamless, with students assuming some responsibility for smooth operation.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Performance of noninstructional duties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Considerable instructional time is lost in performing noninstructional duties.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Systems for performing noninstructional duties are only fairly efficient, resulting in some loss of instructional time.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Efficient systems for performing noninstructional duties are in place, resulting in minimal loss of instructional time.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Systems for performing noninstructional duties are well established, with students assuming considerable responsibility for efficient operation.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Supervision of volunteers and paraprofessionals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Gill Sans" w:cs="Gill Sans" w:eastAsia="Gill Sans" w:hAnsi="Gill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Volunteers and paraprofessionals have no clearly defined duties and are idle most of the time.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Volunteers and paraprofessionals are productively engaged during portions of class time but require frequent supervision.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Volunteers and paraprofessionals are productively and independently engaged during the entire class.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Volunteers and paraprofessionals make a substantive contribution to the classroom environment.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9230.0" w:type="dxa"/>
        <w:jc w:val="left"/>
        <w:tblInd w:w="120.0" w:type="pct"/>
        <w:tblLayout w:type="fixed"/>
        <w:tblLook w:val="0000"/>
      </w:tblPr>
      <w:tblGrid>
        <w:gridCol w:w="1347"/>
        <w:gridCol w:w="2290"/>
        <w:gridCol w:w="1649"/>
        <w:gridCol w:w="1854"/>
        <w:gridCol w:w="2090"/>
        <w:tblGridChange w:id="0">
          <w:tblGrid>
            <w:gridCol w:w="1347"/>
            <w:gridCol w:w="2290"/>
            <w:gridCol w:w="1649"/>
            <w:gridCol w:w="1854"/>
            <w:gridCol w:w="2090"/>
          </w:tblGrid>
        </w:tblGridChange>
      </w:tblGrid>
      <w:tr>
        <w:trPr>
          <w:trHeight w:val="138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6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DOMAIN 2:</w:t>
            </w:r>
            <w:r w:rsidDel="00000000" w:rsidR="00000000" w:rsidRPr="00000000">
              <w:rPr>
                <w:rFonts w:ascii="Gill Sans" w:cs="Gill Sans" w:eastAsia="Gill Sans" w:hAnsi="Gill Sans"/>
                <w:smallCaps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THE CLASSROOM ENVIRONMENT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Rule="auto"/>
              <w:contextualSpacing w:val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Component 2d: Managing Student Behavior</w:t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Elements: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Expectations • Monitoring of student behavior • Response to student misbehavior</w:t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jc w:val="center"/>
              <w:rPr>
                <w:rFonts w:ascii="Gill Sans" w:cs="Gill Sans" w:eastAsia="Gill Sans" w:hAnsi="Gill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ELEMENT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jc w:val="center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Level of Performance</w:t>
            </w:r>
          </w:p>
        </w:tc>
      </w:tr>
      <w:tr>
        <w:trPr>
          <w:trHeight w:val="5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UNSATISFACTORY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BASIC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PROFICIENT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DISTINGUISHED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Expectations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 standards of conduct appear to have been established, or students are confused as to what the standards are.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Standards of conduct appear to have been established, and most students seem to understand them.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Standards of conduct are clear to all students.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Standards of conduct are clear to all students and appear to have been developed with student participation.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Monitoring of </w:t>
              <w:br w:type="textWrapping"/>
              <w:t xml:space="preserve">student behavior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Student behavior is not monitored, and teacher is unaware of what the students are doing.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Teacher is generally aware of student behavior but may miss the activities of some students.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Teacher is alert to student behavior at all times.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Monitoring by teacher is subtle and preventive. Students monitor their own and their peers’ behavior, correcting one another respectfully.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Response to student misbehavior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Teacher does not respond to misbehavior, or the response is inconsistent, is overly repressive, or does not respect the student’s dignity.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Teacher attempts to respond to student misbehavior but with uneven results, or there are no major infractions of the rules.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Teacher response to misbehavior is appropriate and successful and respects the student’s dignity, or student behavior is generally appropriate.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Teacher response to misbehavior is highly effective and sensitive to students’ individual needs, or student behavior is entirely appropriate.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9230.0" w:type="dxa"/>
        <w:jc w:val="left"/>
        <w:tblInd w:w="120.0" w:type="pct"/>
        <w:tblLayout w:type="fixed"/>
        <w:tblLook w:val="0000"/>
      </w:tblPr>
      <w:tblGrid>
        <w:gridCol w:w="1305"/>
        <w:gridCol w:w="2254"/>
        <w:gridCol w:w="1850"/>
        <w:gridCol w:w="1664"/>
        <w:gridCol w:w="2157"/>
        <w:tblGridChange w:id="0">
          <w:tblGrid>
            <w:gridCol w:w="1305"/>
            <w:gridCol w:w="2254"/>
            <w:gridCol w:w="1850"/>
            <w:gridCol w:w="1664"/>
            <w:gridCol w:w="2157"/>
          </w:tblGrid>
        </w:tblGridChange>
      </w:tblGrid>
      <w:tr>
        <w:trPr>
          <w:trHeight w:val="146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6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lineRule="auto"/>
              <w:contextualSpacing w:val="0"/>
              <w:jc w:val="center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DOMAIN 2:</w:t>
            </w:r>
            <w:r w:rsidDel="00000000" w:rsidR="00000000" w:rsidRPr="00000000">
              <w:rPr>
                <w:rFonts w:ascii="Gill Sans" w:cs="Gill Sans" w:eastAsia="Gill Sans" w:hAnsi="Gill Sans"/>
                <w:smallCaps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THE CLASSROOM ENVIRONMENT</w:t>
            </w:r>
          </w:p>
          <w:p w:rsidR="00000000" w:rsidDel="00000000" w:rsidP="00000000" w:rsidRDefault="00000000" w:rsidRPr="00000000">
            <w:pPr>
              <w:spacing w:after="0" w:lineRule="auto"/>
              <w:contextualSpacing w:val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Component 2e: Organizing Physical Space</w:t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Elements: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Safety and accessibility • Arrangement of furniture and use of physical resources</w:t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jc w:val="center"/>
              <w:rPr>
                <w:rFonts w:ascii="Gill Sans" w:cs="Gill Sans" w:eastAsia="Gill Sans" w:hAnsi="Gill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ELEMENT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jc w:val="center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Level of Performance</w:t>
            </w:r>
          </w:p>
        </w:tc>
      </w:tr>
      <w:tr>
        <w:trPr>
          <w:trHeight w:val="6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UNSATISFACTORY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BASIC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PROFICIENT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DISTINGUISHED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Safety and accessibility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The classroom is unsafe, or learning is not accessible to some students.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The classroom is safe, and at least essential learning is accessible to most students.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The classroom is safe, and learning is equally accessible to all students.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The classroom is safe, and students themselves ensure that all learning is equally accessible to all students.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Arrangement of </w:t>
              <w:br w:type="textWrapping"/>
              <w:t xml:space="preserve">furniture and use </w:t>
              <w:br w:type="textWrapping"/>
              <w:t xml:space="preserve">of physical resources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The furniture arrangement hinders the learning activities, or the teacher makes poor use of physical resources.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Teacher uses physical resources adequately. The furniture may be adjusted for a lesson, but with limited effectiveness.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12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Teacher uses physical resources skillfully, and the furniture arrangement is a resource for</w:t>
              <w:br w:type="textWrapping"/>
              <w:t xml:space="preserve"> learning activities.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20.0" w:type="dxa"/>
              <w:left w:w="12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Both teacher and students use physical resources easily and skillfully, and students adjust the furniture to advance their learning.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Evidence: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Impact: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Actionable Next Step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 </w:t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bottom w:color="000000" w:space="1" w:sz="4" w:val="single"/>
        </w:pBd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Summary of Domain 2: Classroom Environment:</w:t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49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after="0" w:line="327.27272727272725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________________________________________________</w:t>
        <w:tab/>
        <w:tab/>
        <w:tab/>
        <w:t xml:space="preserve">_____________________</w:t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after="0" w:line="327.27272727272725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Teacher’s Signature</w:t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after="0" w:line="327.27272727272725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________________________________________________</w:t>
        <w:tab/>
        <w:tab/>
        <w:tab/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after="0" w:line="327.27272727272725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Teacher’s Name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after="0" w:line="327.27272727272725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after="0" w:line="327.27272727272725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after="0" w:line="327.27272727272725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________________________________________________</w:t>
        <w:tab/>
        <w:tab/>
        <w:tab/>
        <w:t xml:space="preserve">_____________________</w:t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after="0" w:line="327.27272727272725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Evaluator’s Signature</w:t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after="0" w:line="327.27272727272725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________________________________________________</w:t>
        <w:tab/>
        <w:tab/>
        <w:tab/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after="0" w:line="327.27272727272725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Evaluator’s Name and Title</w:t>
        <w:tab/>
        <w:tab/>
        <w:tab/>
        <w:tab/>
        <w:tab/>
        <w:tab/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after="0" w:line="327.27272727272725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4" w:val="single"/>
        </w:pBdr>
        <w:spacing w:line="327.27272727272725" w:lineRule="auto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Georgia"/>
  <w:font w:name="Arial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